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51" w:rsidRDefault="00762B6A">
      <w:pPr>
        <w:ind w:firstLine="0"/>
      </w:pPr>
      <w:r>
        <w:t>УДК 519.6</w:t>
      </w:r>
    </w:p>
    <w:p w:rsidR="002C0E51" w:rsidRDefault="002C0E51">
      <w:pPr>
        <w:ind w:firstLine="0"/>
      </w:pPr>
    </w:p>
    <w:p w:rsidR="002C0E51" w:rsidRDefault="00762B6A">
      <w:pPr>
        <w:pStyle w:val="2"/>
      </w:pPr>
      <w:r>
        <w:t>Название СТАТЬИ ЗАГЛАВНЫМИ БУКВАМИ БЕЗ АББРЕВИАТУР И СОКРАЩЕНИЙ</w:t>
      </w:r>
    </w:p>
    <w:p w:rsidR="002C0E51" w:rsidRDefault="002C0E51">
      <w:pPr>
        <w:ind w:firstLine="0"/>
      </w:pPr>
    </w:p>
    <w:p w:rsidR="002C0E51" w:rsidRDefault="00762B6A">
      <w:pPr>
        <w:ind w:firstLine="0"/>
      </w:pPr>
      <w:r>
        <w:rPr>
          <w:b/>
          <w:bCs/>
        </w:rPr>
        <w:t>И.И. Иванов</w:t>
      </w:r>
      <w:r>
        <w:rPr>
          <w:vertAlign w:val="superscript"/>
        </w:rPr>
        <w:t>1</w:t>
      </w:r>
    </w:p>
    <w:p w:rsidR="002C0E51" w:rsidRDefault="00762B6A">
      <w:pPr>
        <w:ind w:firstLine="0"/>
      </w:pPr>
      <w:r>
        <w:rPr>
          <w:b/>
          <w:bCs/>
        </w:rPr>
        <w:t>А.П. Карпенко</w:t>
      </w:r>
      <w:r>
        <w:rPr>
          <w:vertAlign w:val="superscript"/>
        </w:rPr>
        <w:t>1</w:t>
      </w:r>
      <w:r>
        <w:t xml:space="preserve"> (научный руководитель)</w:t>
      </w:r>
    </w:p>
    <w:p w:rsidR="002C0E51" w:rsidRDefault="002C0E51">
      <w:pPr>
        <w:ind w:firstLine="0"/>
      </w:pPr>
    </w:p>
    <w:p w:rsidR="002C0E51" w:rsidRDefault="00762B6A">
      <w:pPr>
        <w:ind w:firstLine="0"/>
      </w:pPr>
      <w:r>
        <w:rPr>
          <w:vertAlign w:val="superscript"/>
        </w:rPr>
        <w:t>1</w:t>
      </w:r>
      <w:r>
        <w:rPr>
          <w:i/>
          <w:iCs/>
        </w:rPr>
        <w:t>МГТУ им. Н.Э. Баумана, Москва, Россия</w:t>
      </w:r>
    </w:p>
    <w:p w:rsidR="002C0E51" w:rsidRDefault="002C0E51">
      <w:pPr>
        <w:ind w:firstLine="0"/>
      </w:pPr>
    </w:p>
    <w:p w:rsidR="002C0E51" w:rsidRDefault="00762B6A">
      <w:pPr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Аннотация статьи на русском языке. Аннотация должна отражать основные положения статьи,</w:t>
      </w:r>
      <w:r>
        <w:rPr>
          <w:i/>
          <w:sz w:val="24"/>
          <w:szCs w:val="24"/>
        </w:rPr>
        <w:t xml:space="preserve"> объём — 50-100 слов.</w:t>
      </w:r>
    </w:p>
    <w:p w:rsidR="002C0E51" w:rsidRDefault="002C0E51">
      <w:pPr>
        <w:ind w:firstLine="0"/>
        <w:rPr>
          <w:i/>
          <w:sz w:val="24"/>
          <w:szCs w:val="24"/>
        </w:rPr>
      </w:pPr>
    </w:p>
    <w:p w:rsidR="002C0E51" w:rsidRDefault="00762B6A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Ключевые слова</w:t>
      </w:r>
      <w:r>
        <w:rPr>
          <w:sz w:val="24"/>
          <w:szCs w:val="24"/>
        </w:rPr>
        <w:t>:</w:t>
      </w:r>
      <w:r>
        <w:rPr>
          <w:i/>
          <w:sz w:val="24"/>
          <w:szCs w:val="24"/>
        </w:rPr>
        <w:t xml:space="preserve"> 5-7 слов или словосочетаний, перечисленных через запятую</w:t>
      </w:r>
    </w:p>
    <w:p w:rsidR="002C0E51" w:rsidRDefault="002C0E51"/>
    <w:p w:rsidR="002C0E51" w:rsidRDefault="00762B6A">
      <w:pPr>
        <w:rPr>
          <w:szCs w:val="28"/>
        </w:rPr>
      </w:pPr>
      <w:r>
        <w:rPr>
          <w:b/>
          <w:szCs w:val="28"/>
        </w:rPr>
        <w:t>Введение.</w:t>
      </w:r>
      <w:r>
        <w:rPr>
          <w:szCs w:val="28"/>
        </w:rPr>
        <w:t xml:space="preserve"> Введение в предметную область, обоснование актуальности, каким проблемам посвящена работа, содержательная постановка задачи.</w:t>
      </w:r>
    </w:p>
    <w:p w:rsidR="002C0E51" w:rsidRDefault="00762B6A">
      <w:pPr>
        <w:rPr>
          <w:szCs w:val="28"/>
        </w:rPr>
      </w:pPr>
      <w:r>
        <w:rPr>
          <w:b/>
          <w:szCs w:val="28"/>
        </w:rPr>
        <w:t>1. Разделы основной част</w:t>
      </w:r>
      <w:r>
        <w:rPr>
          <w:b/>
          <w:szCs w:val="28"/>
        </w:rPr>
        <w:t>и.</w:t>
      </w:r>
      <w:r>
        <w:rPr>
          <w:szCs w:val="28"/>
        </w:rPr>
        <w:t xml:space="preserve"> Основная часть работы должна содержать формальную постановки задачи, обзор существующих подходов, описание предлагаемого решения (модели, метода) и проведённых вычислительных экспериментов.</w:t>
      </w:r>
    </w:p>
    <w:p w:rsidR="002C0E51" w:rsidRDefault="00762B6A">
      <w:pPr>
        <w:rPr>
          <w:szCs w:val="28"/>
        </w:rPr>
      </w:pPr>
      <w:r>
        <w:rPr>
          <w:szCs w:val="28"/>
        </w:rPr>
        <w:t xml:space="preserve">Формулы необходимо набирать во встроенном редакторе </w:t>
      </w:r>
      <w:r>
        <w:rPr>
          <w:szCs w:val="28"/>
          <w:lang w:val="en-US"/>
        </w:rPr>
        <w:t>MS</w:t>
      </w:r>
      <w:r>
        <w:rPr>
          <w:szCs w:val="28"/>
        </w:rPr>
        <w:t xml:space="preserve"> </w:t>
      </w:r>
      <w:r>
        <w:rPr>
          <w:szCs w:val="28"/>
          <w:lang w:val="en-US"/>
        </w:rPr>
        <w:t>World</w:t>
      </w:r>
      <w:r>
        <w:rPr>
          <w:szCs w:val="28"/>
        </w:rPr>
        <w:t>. В</w:t>
      </w:r>
      <w:r>
        <w:rPr>
          <w:szCs w:val="28"/>
        </w:rPr>
        <w:t>се обозначения, используемые в работе, должны быть расшифрованы. Рассмотрим в качестве примера постановку детерминированной задачи оптимизации</w:t>
      </w:r>
    </w:p>
    <w:p w:rsidR="002C0E51" w:rsidRDefault="00762B6A">
      <w:pPr>
        <w:ind w:firstLine="0"/>
        <w:jc w:val="right"/>
        <w:rPr>
          <w:rFonts w:eastAsia="Times New Roman"/>
          <w:szCs w:val="28"/>
          <w:lang w:eastAsia="ru-RU"/>
        </w:rPr>
      </w:pP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</w:rPr>
              <m:t>min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∈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sup>
            </m:sSup>
          </m:lim>
        </m:limLow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*</m:t>
                </m:r>
              </m:sup>
            </m:sSup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lit/>
                <m:nor/>
              </m:rPr>
              <w:rPr>
                <w:rFonts w:ascii="Cambria Math" w:hAnsi="Cambria Math"/>
              </w:rPr>
              <m:t>*</m:t>
            </m:r>
          </m:sup>
        </m:sSup>
      </m:oMath>
      <w:r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>(1)</w:t>
      </w:r>
    </w:p>
    <w:p w:rsidR="002C0E51" w:rsidRDefault="00762B6A">
      <w:pPr>
        <w:ind w:firstLine="0"/>
        <w:rPr>
          <w:szCs w:val="28"/>
        </w:rPr>
      </w:pPr>
      <w:r>
        <w:rPr>
          <w:szCs w:val="28"/>
        </w:rPr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szCs w:val="28"/>
          <w:lang w:val="en-US"/>
        </w:rPr>
        <w:t> </w:t>
      </w:r>
      <w:r>
        <w:rPr>
          <w:szCs w:val="28"/>
        </w:rPr>
        <w:t xml:space="preserve">— размерность вектора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</w:rPr>
              <m:t>∈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1: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</m:d>
      </m:oMath>
      <w:r>
        <w:rPr>
          <w:szCs w:val="28"/>
        </w:rPr>
        <w:t xml:space="preserve">;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szCs w:val="28"/>
          <w:lang w:val="en-US"/>
        </w:rPr>
        <w:t> </w:t>
      </w:r>
      <w:r>
        <w:rPr>
          <w:szCs w:val="28"/>
        </w:rPr>
        <w:t xml:space="preserve">— целевая функция со значениями в пространстве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  <w:r>
        <w:rPr>
          <w:szCs w:val="28"/>
        </w:rPr>
        <w:t xml:space="preserve">;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lit/>
                <m:nor/>
              </m:rPr>
              <w:rPr>
                <w:rFonts w:ascii="Cambria Math" w:hAnsi="Cambria Math"/>
              </w:rPr>
              <m:t>*</m:t>
            </m:r>
          </m:sup>
        </m:sSup>
      </m:oMath>
      <w:r>
        <w:rPr>
          <w:szCs w:val="28"/>
        </w:rPr>
        <w:t xml:space="preserve">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lit/>
                <m:nor/>
              </m:rPr>
              <w:rPr>
                <w:rFonts w:ascii="Cambria Math" w:hAnsi="Cambria Math"/>
              </w:rPr>
              <m:t>*</m:t>
            </m:r>
          </m:sup>
        </m:sSup>
      </m:oMath>
      <w:r>
        <w:rPr>
          <w:szCs w:val="28"/>
          <w:lang w:val="en-US" w:eastAsia="ru-RU"/>
        </w:rPr>
        <w:t> </w:t>
      </w:r>
      <w:r>
        <w:rPr>
          <w:szCs w:val="28"/>
          <w:lang w:eastAsia="ru-RU"/>
        </w:rPr>
        <w:t>—</w:t>
      </w:r>
      <w:r>
        <w:rPr>
          <w:szCs w:val="28"/>
        </w:rPr>
        <w:t xml:space="preserve"> искомые оптимальные решение и значение целевой функции соответственно.</w:t>
      </w:r>
    </w:p>
    <w:p w:rsidR="002C0E51" w:rsidRDefault="00762B6A">
      <w:pPr>
        <w:rPr>
          <w:szCs w:val="28"/>
        </w:rPr>
      </w:pPr>
      <w:r>
        <w:rPr>
          <w:szCs w:val="28"/>
        </w:rPr>
        <w:t>В тексте можно ссылаться на формулы. Номер формулы при этом заключается в круглые скобки, например, «…в формуле (</w:t>
      </w:r>
      <w:proofErr w:type="gramStart"/>
      <w:r>
        <w:rPr>
          <w:szCs w:val="28"/>
        </w:rPr>
        <w:t>1)…</w:t>
      </w:r>
      <w:proofErr w:type="gramEnd"/>
      <w:r>
        <w:rPr>
          <w:szCs w:val="28"/>
        </w:rPr>
        <w:t xml:space="preserve">». </w:t>
      </w:r>
      <w:r>
        <w:rPr>
          <w:b/>
          <w:bCs/>
          <w:szCs w:val="28"/>
        </w:rPr>
        <w:t>Нум</w:t>
      </w:r>
      <w:r>
        <w:rPr>
          <w:b/>
          <w:bCs/>
          <w:szCs w:val="28"/>
        </w:rPr>
        <w:t>еруются только те формулы, на которые есть ссылки в тексте</w:t>
      </w:r>
      <w:r>
        <w:rPr>
          <w:szCs w:val="28"/>
        </w:rPr>
        <w:t>.</w:t>
      </w:r>
    </w:p>
    <w:p w:rsidR="002C0E51" w:rsidRDefault="00762B6A">
      <w:pPr>
        <w:rPr>
          <w:szCs w:val="28"/>
        </w:rPr>
      </w:pPr>
      <w:r>
        <w:rPr>
          <w:szCs w:val="28"/>
        </w:rPr>
        <w:t>Рисунки добавляют в текст через пункт меню «Вставка– Рисунок–Из файла». Яркость рисунка должна быть аналогична яркости шрифта текста. Рисунок не должен выходить за границы документа. Для ссылки на</w:t>
      </w:r>
      <w:r>
        <w:rPr>
          <w:szCs w:val="28"/>
        </w:rPr>
        <w:t xml:space="preserve"> рисунок нужно указать его номер, например, «На рисунке 1 представлены результаты вычислительного эксперимента».</w:t>
      </w:r>
    </w:p>
    <w:p w:rsidR="002C0E51" w:rsidRDefault="00762B6A">
      <w:pPr>
        <w:rPr>
          <w:szCs w:val="28"/>
        </w:rPr>
      </w:pPr>
      <w:r>
        <w:rPr>
          <w:szCs w:val="28"/>
        </w:rPr>
        <w:t>Числовые данные, которые иллюстрируют рисунки, следует приводить в соответствующих таблицах. Так, в таблице 1 представлены результаты вычислите</w:t>
      </w:r>
      <w:r>
        <w:rPr>
          <w:szCs w:val="28"/>
        </w:rPr>
        <w:t>льного эксперимента, которые иллюстрирует рисунок 1.</w:t>
      </w:r>
    </w:p>
    <w:p w:rsidR="002C0E51" w:rsidRDefault="00762B6A">
      <w:pPr>
        <w:pStyle w:val="Figure"/>
      </w:pPr>
      <w:r>
        <w:rPr>
          <w:noProof/>
        </w:rPr>
        <w:lastRenderedPageBreak/>
        <w:drawing>
          <wp:inline distT="0" distB="0" distL="0" distR="0">
            <wp:extent cx="5195570" cy="217106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570" cy="217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E51" w:rsidRDefault="00762B6A">
      <w:pPr>
        <w:pStyle w:val="Figure"/>
      </w:pPr>
      <w:r>
        <w:rPr>
          <w:sz w:val="28"/>
          <w:szCs w:val="28"/>
        </w:rPr>
        <w:t>Рисунок 1. Экспериментальная оценка вероятности локализации глобального экстремума: *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— функция Растригина; •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— функция Розенброка</w:t>
      </w:r>
    </w:p>
    <w:p w:rsidR="002C0E51" w:rsidRDefault="00762B6A">
      <w:pPr>
        <w:pStyle w:val="Tabl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Таблица 1.</w:t>
      </w:r>
      <w:r>
        <w:rPr>
          <w:kern w:val="2"/>
          <w:sz w:val="28"/>
          <w:szCs w:val="28"/>
          <w:lang w:eastAsia="zh-CN"/>
        </w:rPr>
        <w:t xml:space="preserve"> Результаты вычислительного эксперимента:</w:t>
      </w:r>
      <w:r>
        <w:rPr>
          <w:sz w:val="28"/>
          <w:szCs w:val="28"/>
        </w:rPr>
        <w:t xml:space="preserve"> оценка вероятности</w:t>
      </w:r>
      <w:r>
        <w:rPr>
          <w:sz w:val="28"/>
          <w:szCs w:val="28"/>
        </w:rPr>
        <w:t xml:space="preserve"> локализации глобального экстремума</w:t>
      </w:r>
    </w:p>
    <w:tbl>
      <w:tblPr>
        <w:tblStyle w:val="11"/>
        <w:tblW w:w="8620" w:type="dxa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964"/>
        <w:gridCol w:w="964"/>
        <w:gridCol w:w="965"/>
        <w:gridCol w:w="964"/>
        <w:gridCol w:w="964"/>
        <w:gridCol w:w="1198"/>
      </w:tblGrid>
      <w:tr w:rsidR="002C0E51">
        <w:trPr>
          <w:trHeight w:val="438"/>
          <w:jc w:val="center"/>
        </w:trPr>
        <w:tc>
          <w:tcPr>
            <w:tcW w:w="2601" w:type="dxa"/>
            <w:vMerge w:val="restart"/>
            <w:vAlign w:val="center"/>
          </w:tcPr>
          <w:p w:rsidR="002C0E51" w:rsidRDefault="00762B6A">
            <w:pPr>
              <w:pStyle w:val="TableContents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f</m:t>
                </m:r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6019" w:type="dxa"/>
            <w:gridSpan w:val="6"/>
            <w:vAlign w:val="center"/>
          </w:tcPr>
          <w:p w:rsidR="002C0E51" w:rsidRDefault="00762B6A">
            <w:pPr>
              <w:pStyle w:val="TableContents"/>
            </w:pPr>
            <m:oMathPara>
              <m:oMathParaPr>
                <m:jc m:val="center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2C0E51">
        <w:trPr>
          <w:trHeight w:val="385"/>
          <w:jc w:val="center"/>
        </w:trPr>
        <w:tc>
          <w:tcPr>
            <w:tcW w:w="2601" w:type="dxa"/>
            <w:vMerge/>
            <w:vAlign w:val="center"/>
          </w:tcPr>
          <w:p w:rsidR="002C0E51" w:rsidRDefault="002C0E51">
            <w:pPr>
              <w:tabs>
                <w:tab w:val="left" w:pos="1288"/>
              </w:tabs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964" w:type="dxa"/>
            <w:vAlign w:val="center"/>
          </w:tcPr>
          <w:p w:rsidR="002C0E51" w:rsidRDefault="00762B6A">
            <w:pPr>
              <w:pStyle w:val="TableContents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2C0E51" w:rsidRDefault="00762B6A">
            <w:pPr>
              <w:pStyle w:val="TableContents"/>
            </w:pPr>
            <w:r>
              <w:t>4</w:t>
            </w:r>
          </w:p>
        </w:tc>
        <w:tc>
          <w:tcPr>
            <w:tcW w:w="965" w:type="dxa"/>
            <w:vAlign w:val="center"/>
          </w:tcPr>
          <w:p w:rsidR="002C0E51" w:rsidRDefault="00762B6A">
            <w:pPr>
              <w:pStyle w:val="TableContents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2C0E51" w:rsidRDefault="00762B6A">
            <w:pPr>
              <w:pStyle w:val="TableContents"/>
            </w:pPr>
            <w:r>
              <w:t>16</w:t>
            </w:r>
          </w:p>
        </w:tc>
        <w:tc>
          <w:tcPr>
            <w:tcW w:w="964" w:type="dxa"/>
            <w:vAlign w:val="center"/>
          </w:tcPr>
          <w:p w:rsidR="002C0E51" w:rsidRDefault="00762B6A">
            <w:pPr>
              <w:pStyle w:val="TableContents"/>
            </w:pPr>
            <w:r>
              <w:t>32</w:t>
            </w:r>
          </w:p>
        </w:tc>
        <w:tc>
          <w:tcPr>
            <w:tcW w:w="1198" w:type="dxa"/>
            <w:vAlign w:val="center"/>
          </w:tcPr>
          <w:p w:rsidR="002C0E51" w:rsidRDefault="00762B6A">
            <w:pPr>
              <w:pStyle w:val="TableContents"/>
            </w:pPr>
            <w:r>
              <w:t>64</w:t>
            </w:r>
          </w:p>
        </w:tc>
      </w:tr>
      <w:tr w:rsidR="002C0E51">
        <w:trPr>
          <w:trHeight w:val="459"/>
          <w:jc w:val="center"/>
        </w:trPr>
        <w:tc>
          <w:tcPr>
            <w:tcW w:w="2601" w:type="dxa"/>
            <w:vAlign w:val="center"/>
          </w:tcPr>
          <w:p w:rsidR="002C0E51" w:rsidRDefault="00762B6A">
            <w:pPr>
              <w:pStyle w:val="TableContents"/>
            </w:pPr>
            <w:r>
              <w:t>Функция Растригина</w:t>
            </w:r>
          </w:p>
        </w:tc>
        <w:tc>
          <w:tcPr>
            <w:tcW w:w="964" w:type="dxa"/>
            <w:vAlign w:val="center"/>
          </w:tcPr>
          <w:p w:rsidR="002C0E51" w:rsidRDefault="00762B6A">
            <w:pPr>
              <w:pStyle w:val="TableContents"/>
            </w:pPr>
            <w:r>
              <w:t>1,00</w:t>
            </w:r>
          </w:p>
        </w:tc>
        <w:tc>
          <w:tcPr>
            <w:tcW w:w="964" w:type="dxa"/>
            <w:vAlign w:val="center"/>
          </w:tcPr>
          <w:p w:rsidR="002C0E51" w:rsidRDefault="00762B6A">
            <w:pPr>
              <w:pStyle w:val="TableContents"/>
            </w:pPr>
            <w:r>
              <w:t>1,00</w:t>
            </w:r>
          </w:p>
        </w:tc>
        <w:tc>
          <w:tcPr>
            <w:tcW w:w="965" w:type="dxa"/>
            <w:vAlign w:val="center"/>
          </w:tcPr>
          <w:p w:rsidR="002C0E51" w:rsidRDefault="00762B6A">
            <w:pPr>
              <w:pStyle w:val="TableContents"/>
            </w:pPr>
            <w:r>
              <w:t>1,00</w:t>
            </w:r>
          </w:p>
        </w:tc>
        <w:tc>
          <w:tcPr>
            <w:tcW w:w="964" w:type="dxa"/>
            <w:vAlign w:val="center"/>
          </w:tcPr>
          <w:p w:rsidR="002C0E51" w:rsidRDefault="00762B6A">
            <w:pPr>
              <w:pStyle w:val="TableContents"/>
            </w:pPr>
            <w:r>
              <w:t>0,81</w:t>
            </w:r>
          </w:p>
        </w:tc>
        <w:tc>
          <w:tcPr>
            <w:tcW w:w="964" w:type="dxa"/>
            <w:vAlign w:val="center"/>
          </w:tcPr>
          <w:p w:rsidR="002C0E51" w:rsidRDefault="00762B6A">
            <w:pPr>
              <w:pStyle w:val="TableContents"/>
            </w:pPr>
            <w:r>
              <w:t>0,22</w:t>
            </w:r>
          </w:p>
        </w:tc>
        <w:tc>
          <w:tcPr>
            <w:tcW w:w="1198" w:type="dxa"/>
            <w:vAlign w:val="center"/>
          </w:tcPr>
          <w:p w:rsidR="002C0E51" w:rsidRDefault="00762B6A">
            <w:pPr>
              <w:pStyle w:val="TableContents"/>
            </w:pPr>
            <w:r>
              <w:t>0,08</w:t>
            </w:r>
          </w:p>
        </w:tc>
      </w:tr>
      <w:tr w:rsidR="002C0E51">
        <w:trPr>
          <w:trHeight w:val="459"/>
          <w:jc w:val="center"/>
        </w:trPr>
        <w:tc>
          <w:tcPr>
            <w:tcW w:w="2601" w:type="dxa"/>
            <w:vAlign w:val="center"/>
          </w:tcPr>
          <w:p w:rsidR="002C0E51" w:rsidRDefault="00762B6A">
            <w:pPr>
              <w:pStyle w:val="TableContents"/>
            </w:pPr>
            <w:r>
              <w:t>Функция Розенброка</w:t>
            </w:r>
          </w:p>
        </w:tc>
        <w:tc>
          <w:tcPr>
            <w:tcW w:w="964" w:type="dxa"/>
            <w:vAlign w:val="center"/>
          </w:tcPr>
          <w:p w:rsidR="002C0E51" w:rsidRDefault="00762B6A">
            <w:pPr>
              <w:pStyle w:val="TableContents"/>
            </w:pPr>
            <w:r>
              <w:t>0,90</w:t>
            </w:r>
          </w:p>
        </w:tc>
        <w:tc>
          <w:tcPr>
            <w:tcW w:w="964" w:type="dxa"/>
            <w:vAlign w:val="center"/>
          </w:tcPr>
          <w:p w:rsidR="002C0E51" w:rsidRDefault="00762B6A">
            <w:pPr>
              <w:pStyle w:val="TableContents"/>
            </w:pPr>
            <w:r>
              <w:t>0,72</w:t>
            </w:r>
          </w:p>
        </w:tc>
        <w:tc>
          <w:tcPr>
            <w:tcW w:w="965" w:type="dxa"/>
            <w:vAlign w:val="center"/>
          </w:tcPr>
          <w:p w:rsidR="002C0E51" w:rsidRDefault="00762B6A">
            <w:pPr>
              <w:pStyle w:val="TableContents"/>
            </w:pPr>
            <w:r>
              <w:t>0,54</w:t>
            </w:r>
          </w:p>
        </w:tc>
        <w:tc>
          <w:tcPr>
            <w:tcW w:w="964" w:type="dxa"/>
            <w:vAlign w:val="center"/>
          </w:tcPr>
          <w:p w:rsidR="002C0E51" w:rsidRDefault="00762B6A">
            <w:pPr>
              <w:pStyle w:val="TableContents"/>
            </w:pPr>
            <w:r>
              <w:t>0,46</w:t>
            </w:r>
          </w:p>
        </w:tc>
        <w:tc>
          <w:tcPr>
            <w:tcW w:w="964" w:type="dxa"/>
            <w:vAlign w:val="center"/>
          </w:tcPr>
          <w:p w:rsidR="002C0E51" w:rsidRDefault="00762B6A">
            <w:pPr>
              <w:pStyle w:val="TableContents"/>
            </w:pPr>
            <w:r>
              <w:t>0,10</w:t>
            </w:r>
          </w:p>
        </w:tc>
        <w:tc>
          <w:tcPr>
            <w:tcW w:w="1198" w:type="dxa"/>
            <w:vAlign w:val="center"/>
          </w:tcPr>
          <w:p w:rsidR="002C0E51" w:rsidRDefault="00762B6A">
            <w:pPr>
              <w:pStyle w:val="TableContents"/>
            </w:pPr>
            <w:r>
              <w:t>0,00</w:t>
            </w:r>
          </w:p>
        </w:tc>
      </w:tr>
    </w:tbl>
    <w:p w:rsidR="002C0E51" w:rsidRDefault="002C0E51"/>
    <w:p w:rsidR="002C0E51" w:rsidRDefault="00762B6A">
      <w:pPr>
        <w:rPr>
          <w:szCs w:val="28"/>
        </w:rPr>
      </w:pPr>
      <w:r>
        <w:rPr>
          <w:szCs w:val="28"/>
        </w:rPr>
        <w:t xml:space="preserve">Все используемые в тексте аббревиатуры и сокращения должны быть расшифрованы при первом </w:t>
      </w:r>
      <w:r>
        <w:rPr>
          <w:szCs w:val="28"/>
        </w:rPr>
        <w:t>использовании</w:t>
      </w:r>
      <w:r>
        <w:rPr>
          <w:szCs w:val="28"/>
        </w:rPr>
        <w:t xml:space="preserve">. </w:t>
      </w:r>
      <w:r w:rsidRPr="00762B6A">
        <w:rPr>
          <w:szCs w:val="28"/>
        </w:rPr>
        <w:t>Индекс УДК работы подбирается согласно теме и статьям похожей тематики.</w:t>
      </w:r>
      <w:bookmarkStart w:id="0" w:name="_GoBack"/>
      <w:bookmarkEnd w:id="0"/>
    </w:p>
    <w:p w:rsidR="002C0E51" w:rsidRDefault="00762B6A">
      <w:pPr>
        <w:rPr>
          <w:szCs w:val="28"/>
        </w:rPr>
      </w:pPr>
      <w:r>
        <w:rPr>
          <w:b/>
          <w:szCs w:val="28"/>
        </w:rPr>
        <w:t>2. Пример оформления раздела.</w:t>
      </w:r>
      <w:r>
        <w:rPr>
          <w:szCs w:val="28"/>
        </w:rPr>
        <w:t xml:space="preserve"> В работе должен быть приведён пронумерованный список источников (от 5 источников). </w:t>
      </w:r>
      <w:r>
        <w:rPr>
          <w:szCs w:val="28"/>
        </w:rPr>
        <w:t>На все источники должны быть ссылки в тексте статьи. Ссылки проставляют в квадратных скобках, например, [1,</w:t>
      </w:r>
      <w:r>
        <w:rPr>
          <w:szCs w:val="28"/>
          <w:lang w:val="en-US"/>
        </w:rPr>
        <w:t> </w:t>
      </w:r>
      <w:r>
        <w:rPr>
          <w:szCs w:val="28"/>
        </w:rPr>
        <w:t>2]. Допустимо указывать диапазон источников, например, [2-6].</w:t>
      </w:r>
    </w:p>
    <w:p w:rsidR="002C0E51" w:rsidRDefault="00762B6A">
      <w:pPr>
        <w:rPr>
          <w:szCs w:val="28"/>
        </w:rPr>
      </w:pPr>
      <w:r>
        <w:rPr>
          <w:szCs w:val="28"/>
        </w:rPr>
        <w:t>После списка литературы должна быть помещена аннотация работы на английском языке, име</w:t>
      </w:r>
      <w:r>
        <w:rPr>
          <w:szCs w:val="28"/>
        </w:rPr>
        <w:t>ющая следующую структуру.</w:t>
      </w:r>
    </w:p>
    <w:p w:rsidR="002C0E51" w:rsidRDefault="00762B6A">
      <w:pPr>
        <w:numPr>
          <w:ilvl w:val="0"/>
          <w:numId w:val="2"/>
        </w:numPr>
        <w:ind w:left="993" w:hanging="426"/>
        <w:contextualSpacing/>
        <w:rPr>
          <w:szCs w:val="28"/>
          <w:lang w:val="en-US"/>
        </w:rPr>
      </w:pPr>
      <w:r>
        <w:rPr>
          <w:szCs w:val="28"/>
          <w:lang w:val="en-US"/>
        </w:rPr>
        <w:t>First name(s) (full), middle name(s) (first letter and point), last name(s) (full) of the author(s), ordered according to Latin alphabet.</w:t>
      </w:r>
    </w:p>
    <w:p w:rsidR="002C0E51" w:rsidRDefault="00762B6A">
      <w:pPr>
        <w:numPr>
          <w:ilvl w:val="0"/>
          <w:numId w:val="2"/>
        </w:numPr>
        <w:ind w:left="993" w:hanging="426"/>
        <w:contextualSpacing/>
        <w:rPr>
          <w:szCs w:val="28"/>
          <w:lang w:val="en-US"/>
        </w:rPr>
      </w:pPr>
      <w:r>
        <w:rPr>
          <w:szCs w:val="28"/>
          <w:lang w:val="en-US"/>
        </w:rPr>
        <w:t>Affiliation, i.e. the title of organization where is(are) author(s) from.</w:t>
      </w:r>
    </w:p>
    <w:p w:rsidR="002C0E51" w:rsidRDefault="00762B6A">
      <w:pPr>
        <w:numPr>
          <w:ilvl w:val="0"/>
          <w:numId w:val="2"/>
        </w:numPr>
        <w:ind w:left="993" w:hanging="426"/>
        <w:contextualSpacing/>
        <w:rPr>
          <w:szCs w:val="28"/>
          <w:lang w:val="en-US"/>
        </w:rPr>
      </w:pPr>
      <w:r>
        <w:rPr>
          <w:szCs w:val="28"/>
          <w:lang w:val="en-US"/>
        </w:rPr>
        <w:t xml:space="preserve">The title of the </w:t>
      </w:r>
      <w:r>
        <w:rPr>
          <w:szCs w:val="28"/>
          <w:lang w:val="en-US"/>
        </w:rPr>
        <w:t>paper.</w:t>
      </w:r>
    </w:p>
    <w:p w:rsidR="002C0E51" w:rsidRDefault="00762B6A">
      <w:pPr>
        <w:numPr>
          <w:ilvl w:val="0"/>
          <w:numId w:val="2"/>
        </w:numPr>
        <w:ind w:left="993" w:hanging="426"/>
        <w:contextualSpacing/>
        <w:rPr>
          <w:szCs w:val="28"/>
          <w:lang w:val="en-US"/>
        </w:rPr>
      </w:pPr>
      <w:r>
        <w:rPr>
          <w:szCs w:val="28"/>
          <w:lang w:val="en-US"/>
        </w:rPr>
        <w:t>Keywords.</w:t>
      </w:r>
    </w:p>
    <w:p w:rsidR="002C0E51" w:rsidRDefault="00762B6A">
      <w:pPr>
        <w:numPr>
          <w:ilvl w:val="0"/>
          <w:numId w:val="2"/>
        </w:numPr>
        <w:ind w:left="993" w:hanging="426"/>
        <w:contextualSpacing/>
        <w:rPr>
          <w:szCs w:val="28"/>
          <w:lang w:val="en-US"/>
        </w:rPr>
      </w:pPr>
      <w:r>
        <w:rPr>
          <w:szCs w:val="28"/>
          <w:lang w:val="en-US"/>
        </w:rPr>
        <w:t>Abstract (not more than 50 words).</w:t>
      </w:r>
    </w:p>
    <w:p w:rsidR="002C0E51" w:rsidRDefault="00762B6A">
      <w:pPr>
        <w:rPr>
          <w:szCs w:val="28"/>
        </w:rPr>
      </w:pPr>
      <w:r>
        <w:rPr>
          <w:szCs w:val="28"/>
        </w:rPr>
        <w:t>В самом конце статьи необходимо привести сведения о каждом из авторов, а также о научном руководителе (см. ниже).</w:t>
      </w:r>
    </w:p>
    <w:p w:rsidR="002C0E51" w:rsidRDefault="00762B6A">
      <w:pPr>
        <w:rPr>
          <w:szCs w:val="28"/>
        </w:rPr>
      </w:pPr>
      <w:r>
        <w:rPr>
          <w:szCs w:val="28"/>
        </w:rPr>
        <w:t>Имя файла со статьёй должно совпадать с фамилией её первого автора, например, Ivanov.doc</w:t>
      </w:r>
      <w:r>
        <w:rPr>
          <w:szCs w:val="28"/>
          <w:lang w:val="en-US"/>
        </w:rPr>
        <w:t>x</w:t>
      </w:r>
    </w:p>
    <w:p w:rsidR="002C0E51" w:rsidRDefault="00762B6A">
      <w:pPr>
        <w:rPr>
          <w:szCs w:val="28"/>
        </w:rPr>
      </w:pPr>
      <w:r>
        <w:rPr>
          <w:szCs w:val="28"/>
        </w:rPr>
        <w:lastRenderedPageBreak/>
        <w:t>Текст статьи должен быть продублирован в формате PDF.</w:t>
      </w:r>
    </w:p>
    <w:p w:rsidR="002C0E51" w:rsidRDefault="00762B6A">
      <w:r>
        <w:rPr>
          <w:b/>
          <w:szCs w:val="28"/>
        </w:rPr>
        <w:t xml:space="preserve">Заключение. </w:t>
      </w:r>
      <w:r>
        <w:rPr>
          <w:szCs w:val="28"/>
          <w:lang w:eastAsia="ru-RU"/>
        </w:rPr>
        <w:t>В заключении необходимо кратко перечислить выводы и полученные результаты, указать достоинства и недостатки (ограничения) предложенных решений, указывать перспективы развития работы</w:t>
      </w:r>
      <w:r>
        <w:rPr>
          <w:rFonts w:eastAsia="Times New Roman"/>
          <w:szCs w:val="28"/>
          <w:lang w:eastAsia="ru-RU"/>
        </w:rPr>
        <w:t>.</w:t>
      </w:r>
    </w:p>
    <w:p w:rsidR="002C0E51" w:rsidRDefault="002C0E51"/>
    <w:p w:rsidR="002C0E51" w:rsidRDefault="00762B6A">
      <w:pPr>
        <w:pStyle w:val="af4"/>
        <w:rPr>
          <w:b/>
          <w:bCs/>
        </w:rPr>
      </w:pPr>
      <w:r>
        <w:rPr>
          <w:b/>
          <w:bCs/>
        </w:rPr>
        <w:t>Литература</w:t>
      </w:r>
    </w:p>
    <w:p w:rsidR="002C0E51" w:rsidRDefault="00762B6A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contextualSpacing/>
        <w:rPr>
          <w:sz w:val="24"/>
          <w:szCs w:val="24"/>
        </w:rPr>
      </w:pPr>
      <w:r>
        <w:rPr>
          <w:rFonts w:eastAsia="Times New Roman"/>
          <w:color w:val="252525"/>
          <w:sz w:val="24"/>
          <w:szCs w:val="24"/>
          <w:lang w:eastAsia="ru-RU"/>
        </w:rPr>
        <w:t>Карпенко, А.П. Современные алгоритмы поисковой оптимизации. Алгоритмы, вдохновленные природой. М.: Издательство МГТУ им. Н.Э. Баумана, 2014. 446 с.</w:t>
      </w:r>
    </w:p>
    <w:p w:rsidR="002C0E51" w:rsidRDefault="00762B6A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contextualSpacing/>
        <w:rPr>
          <w:sz w:val="24"/>
          <w:szCs w:val="24"/>
        </w:rPr>
      </w:pPr>
      <w:r>
        <w:rPr>
          <w:rFonts w:eastAsia="Times New Roman"/>
          <w:color w:val="252525"/>
          <w:sz w:val="24"/>
          <w:szCs w:val="24"/>
          <w:lang w:val="en-GB" w:eastAsia="ru-RU"/>
        </w:rPr>
        <w:t>Havens</w:t>
      </w:r>
      <w:r>
        <w:rPr>
          <w:rFonts w:eastAsia="Times New Roman"/>
          <w:color w:val="252525"/>
          <w:sz w:val="24"/>
          <w:szCs w:val="24"/>
          <w:lang w:val="en-US" w:eastAsia="ru-RU"/>
        </w:rPr>
        <w:t>,</w:t>
      </w:r>
      <w:r>
        <w:rPr>
          <w:rFonts w:eastAsia="Times New Roman"/>
          <w:color w:val="252525"/>
          <w:sz w:val="24"/>
          <w:szCs w:val="24"/>
          <w:lang w:val="en-GB" w:eastAsia="ru-RU"/>
        </w:rPr>
        <w:t xml:space="preserve"> T.C. et al. Roach infestation optimization</w:t>
      </w:r>
      <w:r>
        <w:rPr>
          <w:rFonts w:eastAsia="Times New Roman"/>
          <w:color w:val="252525"/>
          <w:sz w:val="24"/>
          <w:szCs w:val="24"/>
          <w:lang w:val="en-US" w:eastAsia="ru-RU"/>
        </w:rPr>
        <w:t xml:space="preserve"> //</w:t>
      </w:r>
      <w:r>
        <w:rPr>
          <w:rFonts w:eastAsia="Times New Roman"/>
          <w:i/>
          <w:color w:val="252525"/>
          <w:sz w:val="24"/>
          <w:szCs w:val="24"/>
          <w:lang w:val="en-GB" w:eastAsia="ru-RU"/>
        </w:rPr>
        <w:t>Proceedings of the 2008 IEEE Swarm Intellige</w:t>
      </w:r>
      <w:r>
        <w:rPr>
          <w:rFonts w:eastAsia="Times New Roman"/>
          <w:i/>
          <w:color w:val="252525"/>
          <w:sz w:val="24"/>
          <w:szCs w:val="24"/>
          <w:lang w:val="en-GB" w:eastAsia="ru-RU"/>
        </w:rPr>
        <w:t>nce Symposium</w:t>
      </w:r>
      <w:r>
        <w:rPr>
          <w:rFonts w:eastAsia="Times New Roman"/>
          <w:i/>
          <w:color w:val="252525"/>
          <w:sz w:val="24"/>
          <w:szCs w:val="24"/>
          <w:lang w:val="en-US" w:eastAsia="ru-RU"/>
        </w:rPr>
        <w:t xml:space="preserve">. </w:t>
      </w:r>
      <w:r>
        <w:rPr>
          <w:rFonts w:eastAsia="Times New Roman"/>
          <w:color w:val="252525"/>
          <w:sz w:val="24"/>
          <w:szCs w:val="24"/>
          <w:lang w:val="en-GB" w:eastAsia="ru-RU"/>
        </w:rPr>
        <w:t>St. Louis, USA</w:t>
      </w:r>
      <w:r>
        <w:rPr>
          <w:rFonts w:eastAsia="Times New Roman"/>
          <w:i/>
          <w:color w:val="252525"/>
          <w:sz w:val="24"/>
          <w:szCs w:val="24"/>
          <w:lang w:val="en-US" w:eastAsia="ru-RU"/>
        </w:rPr>
        <w:t>,</w:t>
      </w:r>
      <w:r>
        <w:rPr>
          <w:rFonts w:eastAsia="Times New Roman"/>
          <w:color w:val="252525"/>
          <w:sz w:val="24"/>
          <w:szCs w:val="24"/>
          <w:lang w:val="en-GB" w:eastAsia="ru-RU"/>
        </w:rPr>
        <w:t xml:space="preserve"> 2008.</w:t>
      </w:r>
      <w:r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252525"/>
          <w:sz w:val="24"/>
          <w:szCs w:val="24"/>
          <w:lang w:val="en-GB" w:eastAsia="ru-RU"/>
        </w:rPr>
        <w:t>P. 21–23.</w:t>
      </w:r>
    </w:p>
    <w:p w:rsidR="002C0E51" w:rsidRDefault="00762B6A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contextualSpacing/>
        <w:rPr>
          <w:sz w:val="24"/>
          <w:szCs w:val="24"/>
        </w:rPr>
      </w:pPr>
      <w:r>
        <w:rPr>
          <w:rFonts w:eastAsia="Times New Roman"/>
          <w:color w:val="252525"/>
          <w:sz w:val="24"/>
          <w:szCs w:val="24"/>
          <w:lang w:val="en-GB" w:eastAsia="ru-RU"/>
        </w:rPr>
        <w:t>Bo Xing, Wen-Jing Gao. Innovative Computational Intelligence: A Rough Guide to 134 Clever Algorithms. - Springer International Publishing Switzerland,</w:t>
      </w:r>
      <w:r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252525"/>
          <w:sz w:val="24"/>
          <w:szCs w:val="24"/>
          <w:lang w:val="en-GB" w:eastAsia="ru-RU"/>
        </w:rPr>
        <w:t>2014.</w:t>
      </w:r>
      <w:r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252525"/>
          <w:sz w:val="24"/>
          <w:szCs w:val="24"/>
          <w:lang w:val="en-GB" w:eastAsia="ru-RU"/>
        </w:rPr>
        <w:t>451 p.</w:t>
      </w:r>
    </w:p>
    <w:p w:rsidR="002C0E51" w:rsidRDefault="00762B6A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contextualSpacing/>
        <w:rPr>
          <w:sz w:val="24"/>
          <w:szCs w:val="24"/>
        </w:rPr>
      </w:pPr>
      <w:proofErr w:type="spellStart"/>
      <w:r>
        <w:rPr>
          <w:rFonts w:eastAsia="Times New Roman"/>
          <w:color w:val="252525"/>
          <w:sz w:val="24"/>
          <w:szCs w:val="24"/>
          <w:lang w:val="en-GB" w:eastAsia="ru-RU"/>
        </w:rPr>
        <w:t>Jeanson</w:t>
      </w:r>
      <w:proofErr w:type="spellEnd"/>
      <w:r>
        <w:rPr>
          <w:rFonts w:eastAsia="Times New Roman"/>
          <w:color w:val="252525"/>
          <w:sz w:val="24"/>
          <w:szCs w:val="24"/>
          <w:lang w:val="en-GB" w:eastAsia="ru-RU"/>
        </w:rPr>
        <w:t>,</w:t>
      </w:r>
      <w:r>
        <w:rPr>
          <w:rFonts w:eastAsia="Times New Roman"/>
          <w:color w:val="252525"/>
          <w:sz w:val="24"/>
          <w:szCs w:val="24"/>
          <w:lang w:val="en-US" w:eastAsia="ru-RU"/>
        </w:rPr>
        <w:t xml:space="preserve"> R. et al.</w:t>
      </w:r>
      <w:r>
        <w:rPr>
          <w:rFonts w:eastAsia="Times New Roman"/>
          <w:color w:val="252525"/>
          <w:sz w:val="24"/>
          <w:szCs w:val="24"/>
          <w:lang w:val="en-GB" w:eastAsia="ru-RU"/>
        </w:rPr>
        <w:t xml:space="preserve"> Self-organized aggregation</w:t>
      </w:r>
      <w:r>
        <w:rPr>
          <w:rFonts w:eastAsia="Times New Roman"/>
          <w:color w:val="252525"/>
          <w:sz w:val="24"/>
          <w:szCs w:val="24"/>
          <w:lang w:val="en-GB" w:eastAsia="ru-RU"/>
        </w:rPr>
        <w:t xml:space="preserve"> in cockroaches // Animal Behaviour</w:t>
      </w:r>
      <w:r>
        <w:rPr>
          <w:rFonts w:eastAsia="Times New Roman"/>
          <w:color w:val="252525"/>
          <w:sz w:val="24"/>
          <w:szCs w:val="24"/>
          <w:lang w:val="en-US" w:eastAsia="ru-RU"/>
        </w:rPr>
        <w:t xml:space="preserve">. </w:t>
      </w:r>
      <w:r>
        <w:rPr>
          <w:rFonts w:eastAsia="Times New Roman"/>
          <w:color w:val="252525"/>
          <w:sz w:val="24"/>
          <w:szCs w:val="24"/>
          <w:lang w:val="en-GB" w:eastAsia="ru-RU"/>
        </w:rPr>
        <w:t>2005.</w:t>
      </w:r>
      <w:r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252525"/>
          <w:sz w:val="24"/>
          <w:szCs w:val="24"/>
          <w:lang w:val="en-GB" w:eastAsia="ru-RU"/>
        </w:rPr>
        <w:t>Vol.69.</w:t>
      </w:r>
      <w:r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252525"/>
          <w:sz w:val="24"/>
          <w:szCs w:val="24"/>
          <w:lang w:val="en-GB" w:eastAsia="ru-RU"/>
        </w:rPr>
        <w:t>P. 169–180.</w:t>
      </w:r>
    </w:p>
    <w:p w:rsidR="002C0E51" w:rsidRDefault="00762B6A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contextualSpacing/>
        <w:rPr>
          <w:sz w:val="24"/>
          <w:szCs w:val="24"/>
        </w:rPr>
      </w:pPr>
      <w:proofErr w:type="spellStart"/>
      <w:r>
        <w:rPr>
          <w:rFonts w:eastAsia="Times New Roman"/>
          <w:color w:val="252525"/>
          <w:sz w:val="24"/>
          <w:szCs w:val="24"/>
          <w:lang w:val="en-GB" w:eastAsia="ru-RU"/>
        </w:rPr>
        <w:t>Halloy</w:t>
      </w:r>
      <w:proofErr w:type="spellEnd"/>
      <w:r>
        <w:rPr>
          <w:rFonts w:eastAsia="Times New Roman"/>
          <w:color w:val="252525"/>
          <w:sz w:val="24"/>
          <w:szCs w:val="24"/>
          <w:lang w:val="en-GB" w:eastAsia="ru-RU"/>
        </w:rPr>
        <w:t>, J. et al. Social integration of robots into groups of cockroaches to control self-organized choices // Science</w:t>
      </w:r>
      <w:r>
        <w:rPr>
          <w:rFonts w:eastAsia="Times New Roman"/>
          <w:color w:val="252525"/>
          <w:sz w:val="24"/>
          <w:szCs w:val="24"/>
          <w:lang w:val="en-US" w:eastAsia="ru-RU"/>
        </w:rPr>
        <w:t xml:space="preserve">. </w:t>
      </w:r>
      <w:r>
        <w:rPr>
          <w:rFonts w:eastAsia="Times New Roman"/>
          <w:color w:val="252525"/>
          <w:sz w:val="24"/>
          <w:szCs w:val="24"/>
          <w:lang w:val="en-GB" w:eastAsia="ru-RU"/>
        </w:rPr>
        <w:t>2007.</w:t>
      </w:r>
      <w:r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252525"/>
          <w:sz w:val="24"/>
          <w:szCs w:val="24"/>
          <w:lang w:val="en-GB" w:eastAsia="ru-RU"/>
        </w:rPr>
        <w:t>Vol.</w:t>
      </w:r>
      <w:r>
        <w:rPr>
          <w:rFonts w:eastAsia="Times New Roman"/>
          <w:color w:val="252525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252525"/>
          <w:sz w:val="24"/>
          <w:szCs w:val="24"/>
          <w:lang w:val="en-GB" w:eastAsia="ru-RU"/>
        </w:rPr>
        <w:t>318</w:t>
      </w:r>
      <w:r>
        <w:rPr>
          <w:rFonts w:eastAsia="Times New Roman"/>
          <w:color w:val="252525"/>
          <w:sz w:val="24"/>
          <w:szCs w:val="24"/>
          <w:lang w:val="en-US" w:eastAsia="ru-RU"/>
        </w:rPr>
        <w:t>(</w:t>
      </w:r>
      <w:r>
        <w:rPr>
          <w:rFonts w:eastAsia="Times New Roman"/>
          <w:color w:val="252525"/>
          <w:sz w:val="24"/>
          <w:szCs w:val="24"/>
          <w:lang w:val="en-GB" w:eastAsia="ru-RU"/>
        </w:rPr>
        <w:t>5853</w:t>
      </w:r>
      <w:r>
        <w:rPr>
          <w:rFonts w:eastAsia="Times New Roman"/>
          <w:color w:val="252525"/>
          <w:sz w:val="24"/>
          <w:szCs w:val="24"/>
          <w:lang w:val="en-US" w:eastAsia="ru-RU"/>
        </w:rPr>
        <w:t>). P.</w:t>
      </w:r>
      <w:r>
        <w:rPr>
          <w:rFonts w:eastAsia="Times New Roman"/>
          <w:color w:val="252525"/>
          <w:sz w:val="24"/>
          <w:szCs w:val="24"/>
          <w:lang w:val="en-GB" w:eastAsia="ru-RU"/>
        </w:rPr>
        <w:t>1155–1158.</w:t>
      </w:r>
    </w:p>
    <w:p w:rsidR="002C0E51" w:rsidRDefault="002C0E51">
      <w:pPr>
        <w:ind w:left="633" w:firstLine="0"/>
      </w:pPr>
    </w:p>
    <w:p w:rsidR="002C0E51" w:rsidRDefault="00762B6A">
      <w:pPr>
        <w:ind w:firstLine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PAPER TITLE</w:t>
      </w:r>
    </w:p>
    <w:p w:rsidR="002C0E51" w:rsidRDefault="002C0E51">
      <w:pPr>
        <w:ind w:firstLine="0"/>
        <w:rPr>
          <w:lang w:val="en-US"/>
        </w:rPr>
      </w:pPr>
    </w:p>
    <w:p w:rsidR="002C0E51" w:rsidRDefault="00762B6A">
      <w:pPr>
        <w:ind w:firstLine="0"/>
        <w:rPr>
          <w:lang w:val="en-US"/>
        </w:rPr>
      </w:pPr>
      <w:r>
        <w:rPr>
          <w:b/>
          <w:bCs/>
          <w:lang w:val="en-US"/>
        </w:rPr>
        <w:t>I.I. Ivanov</w:t>
      </w:r>
      <w:r>
        <w:rPr>
          <w:vertAlign w:val="superscript"/>
          <w:lang w:val="en-US"/>
        </w:rPr>
        <w:t>1</w:t>
      </w:r>
    </w:p>
    <w:p w:rsidR="002C0E51" w:rsidRDefault="00762B6A">
      <w:pPr>
        <w:ind w:firstLine="0"/>
        <w:rPr>
          <w:lang w:val="en-US"/>
        </w:rPr>
      </w:pPr>
      <w:r>
        <w:rPr>
          <w:b/>
          <w:bCs/>
          <w:lang w:val="en-US"/>
        </w:rPr>
        <w:t xml:space="preserve">A.P. </w:t>
      </w:r>
      <w:r>
        <w:rPr>
          <w:b/>
          <w:bCs/>
          <w:lang w:val="en-US"/>
        </w:rPr>
        <w:t>Karpenko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 (scientific advisor)</w:t>
      </w:r>
    </w:p>
    <w:p w:rsidR="002C0E51" w:rsidRDefault="002C0E51">
      <w:pPr>
        <w:ind w:firstLine="0"/>
        <w:rPr>
          <w:lang w:val="en-US"/>
        </w:rPr>
      </w:pPr>
    </w:p>
    <w:p w:rsidR="002C0E51" w:rsidRDefault="00762B6A">
      <w:pPr>
        <w:ind w:firstLine="0"/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i/>
          <w:iCs/>
          <w:lang w:val="en-US"/>
        </w:rPr>
        <w:t>BMSTU, Moscow, Russia</w:t>
      </w:r>
    </w:p>
    <w:p w:rsidR="002C0E51" w:rsidRDefault="002C0E51">
      <w:pPr>
        <w:ind w:firstLine="0"/>
        <w:rPr>
          <w:lang w:val="en-US"/>
        </w:rPr>
      </w:pPr>
    </w:p>
    <w:p w:rsidR="002C0E51" w:rsidRDefault="00762B6A">
      <w:pPr>
        <w:ind w:firstLine="0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Abstract text.</w:t>
      </w:r>
    </w:p>
    <w:p w:rsidR="002C0E51" w:rsidRDefault="002C0E51">
      <w:pPr>
        <w:ind w:firstLine="0"/>
        <w:rPr>
          <w:i/>
          <w:sz w:val="24"/>
          <w:szCs w:val="24"/>
          <w:lang w:val="en-US"/>
        </w:rPr>
      </w:pPr>
    </w:p>
    <w:p w:rsidR="002C0E51" w:rsidRDefault="00762B6A">
      <w:pPr>
        <w:ind w:firstLine="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Keywords</w:t>
      </w:r>
      <w:r>
        <w:rPr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comma separated words</w:t>
      </w:r>
    </w:p>
    <w:p w:rsidR="002C0E51" w:rsidRDefault="002C0E51"/>
    <w:sectPr w:rsidR="002C0E51">
      <w:pgSz w:w="11906" w:h="16838"/>
      <w:pgMar w:top="1418" w:right="1418" w:bottom="1418" w:left="1701" w:header="0" w:footer="0" w:gutter="0"/>
      <w:cols w:space="720"/>
      <w:formProt w:val="0"/>
      <w:docGrid w:linePitch="360" w:charSpace="-12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056B9"/>
    <w:multiLevelType w:val="multilevel"/>
    <w:tmpl w:val="5F1402D2"/>
    <w:lvl w:ilvl="0">
      <w:start w:val="1"/>
      <w:numFmt w:val="decimal"/>
      <w:lvlText w:val="%1."/>
      <w:lvlJc w:val="left"/>
      <w:pPr>
        <w:tabs>
          <w:tab w:val="num" w:pos="0"/>
        </w:tabs>
        <w:ind w:left="633" w:firstLine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9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414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300"/>
      </w:pPr>
    </w:lvl>
  </w:abstractNum>
  <w:abstractNum w:abstractNumId="1" w15:restartNumberingAfterBreak="0">
    <w:nsid w:val="3DDD067D"/>
    <w:multiLevelType w:val="multilevel"/>
    <w:tmpl w:val="1DDCD1DE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5DBD737B"/>
    <w:multiLevelType w:val="multilevel"/>
    <w:tmpl w:val="32381E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643"/>
  <w:autoHyphenation/>
  <w:hyphenationZone w:val="17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51"/>
    <w:rsid w:val="002C0E51"/>
    <w:rsid w:val="00762B6A"/>
    <w:rsid w:val="00F017AB"/>
    <w:rsid w:val="00F8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73604-6EA4-4B2C-9506-51766DC0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61D"/>
    <w:pPr>
      <w:suppressAutoHyphens w:val="0"/>
      <w:ind w:firstLine="567"/>
      <w:jc w:val="both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Heading"/>
    <w:next w:val="a"/>
    <w:link w:val="10"/>
    <w:qFormat/>
    <w:rsid w:val="00746F15"/>
    <w:pPr>
      <w:ind w:left="3780"/>
      <w:jc w:val="both"/>
      <w:outlineLvl w:val="0"/>
    </w:pPr>
    <w:rPr>
      <w:rFonts w:eastAsia="Times New Roman"/>
      <w:szCs w:val="24"/>
      <w:lang w:eastAsia="ru-RU"/>
    </w:rPr>
  </w:style>
  <w:style w:type="paragraph" w:styleId="2">
    <w:name w:val="heading 2"/>
    <w:basedOn w:val="Heading"/>
    <w:next w:val="a"/>
    <w:link w:val="20"/>
    <w:qFormat/>
    <w:rsid w:val="00746F15"/>
    <w:pPr>
      <w:spacing w:after="62"/>
      <w:ind w:firstLine="540"/>
      <w:outlineLvl w:val="1"/>
    </w:pPr>
    <w:rPr>
      <w:rFonts w:eastAsia="Times New Roman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746F15"/>
    <w:pPr>
      <w:keepNext/>
      <w:tabs>
        <w:tab w:val="left" w:pos="6480"/>
      </w:tabs>
      <w:spacing w:line="360" w:lineRule="auto"/>
      <w:ind w:firstLine="900"/>
      <w:outlineLvl w:val="5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qFormat/>
    <w:locked/>
    <w:rsid w:val="006A18A6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qFormat/>
    <w:rsid w:val="00746F15"/>
    <w:rPr>
      <w:sz w:val="28"/>
      <w:szCs w:val="24"/>
    </w:rPr>
  </w:style>
  <w:style w:type="character" w:customStyle="1" w:styleId="20">
    <w:name w:val="Заголовок 2 Знак"/>
    <w:link w:val="2"/>
    <w:semiHidden/>
    <w:qFormat/>
    <w:rsid w:val="00746F15"/>
    <w:rPr>
      <w:b/>
      <w:bCs/>
      <w:sz w:val="28"/>
      <w:szCs w:val="28"/>
    </w:rPr>
  </w:style>
  <w:style w:type="character" w:customStyle="1" w:styleId="60">
    <w:name w:val="Заголовок 6 Знак"/>
    <w:link w:val="6"/>
    <w:semiHidden/>
    <w:qFormat/>
    <w:rsid w:val="00746F15"/>
    <w:rPr>
      <w:sz w:val="28"/>
      <w:szCs w:val="24"/>
    </w:rPr>
  </w:style>
  <w:style w:type="character" w:styleId="a5">
    <w:name w:val="FollowedHyperlink"/>
    <w:uiPriority w:val="99"/>
    <w:unhideWhenUsed/>
    <w:rsid w:val="00746F15"/>
    <w:rPr>
      <w:color w:val="954F72"/>
      <w:u w:val="single"/>
    </w:rPr>
  </w:style>
  <w:style w:type="character" w:customStyle="1" w:styleId="HTML">
    <w:name w:val="Стандартный HTML Знак"/>
    <w:qFormat/>
    <w:rsid w:val="00746F15"/>
    <w:rPr>
      <w:rFonts w:ascii="Courier New" w:hAnsi="Courier New"/>
      <w:lang w:val="x-none" w:eastAsia="x-none"/>
    </w:rPr>
  </w:style>
  <w:style w:type="character" w:customStyle="1" w:styleId="a6">
    <w:name w:val="Верхний колонтитул Знак"/>
    <w:link w:val="a7"/>
    <w:qFormat/>
    <w:rsid w:val="00746F15"/>
    <w:rPr>
      <w:sz w:val="24"/>
      <w:szCs w:val="24"/>
    </w:rPr>
  </w:style>
  <w:style w:type="character" w:customStyle="1" w:styleId="a8">
    <w:name w:val="Нижний колонтитул Знак"/>
    <w:link w:val="a9"/>
    <w:qFormat/>
    <w:rsid w:val="00746F15"/>
    <w:rPr>
      <w:sz w:val="24"/>
      <w:szCs w:val="24"/>
    </w:rPr>
  </w:style>
  <w:style w:type="character" w:customStyle="1" w:styleId="aa">
    <w:name w:val="Основной текст Знак"/>
    <w:link w:val="ab"/>
    <w:qFormat/>
    <w:rsid w:val="00746F15"/>
    <w:rPr>
      <w:sz w:val="24"/>
      <w:szCs w:val="24"/>
    </w:rPr>
  </w:style>
  <w:style w:type="character" w:customStyle="1" w:styleId="3">
    <w:name w:val="Основной текст 3 Знак"/>
    <w:qFormat/>
    <w:rsid w:val="00746F15"/>
    <w:rPr>
      <w:iCs/>
      <w:sz w:val="28"/>
      <w:szCs w:val="24"/>
    </w:rPr>
  </w:style>
  <w:style w:type="character" w:customStyle="1" w:styleId="21">
    <w:name w:val="Основной текст с отступом 2 Знак1"/>
    <w:qFormat/>
    <w:locked/>
    <w:rsid w:val="00746F15"/>
    <w:rPr>
      <w:sz w:val="24"/>
      <w:szCs w:val="24"/>
    </w:rPr>
  </w:style>
  <w:style w:type="character" w:customStyle="1" w:styleId="22">
    <w:name w:val="Основной текст с отступом 2 Знак"/>
    <w:qFormat/>
    <w:rsid w:val="00746F15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выноски Знак"/>
    <w:qFormat/>
    <w:rsid w:val="00746F15"/>
    <w:rPr>
      <w:rFonts w:ascii="Segoe UI" w:hAnsi="Segoe UI" w:cs="Segoe UI"/>
      <w:sz w:val="18"/>
      <w:szCs w:val="18"/>
      <w:lang w:val="en-US" w:eastAsia="en-US"/>
    </w:rPr>
  </w:style>
  <w:style w:type="character" w:customStyle="1" w:styleId="st">
    <w:name w:val="st"/>
    <w:qFormat/>
    <w:rsid w:val="00746F15"/>
  </w:style>
  <w:style w:type="character" w:styleId="ad">
    <w:name w:val="Hyperlink"/>
    <w:unhideWhenUsed/>
    <w:rsid w:val="00746F15"/>
    <w:rPr>
      <w:color w:val="0000FF"/>
      <w:u w:val="single"/>
    </w:rPr>
  </w:style>
  <w:style w:type="character" w:styleId="ae">
    <w:name w:val="Placeholder Text"/>
    <w:basedOn w:val="a0"/>
    <w:uiPriority w:val="99"/>
    <w:semiHidden/>
    <w:qFormat/>
    <w:rsid w:val="00F61DCB"/>
    <w:rPr>
      <w:color w:val="808080"/>
    </w:rPr>
  </w:style>
  <w:style w:type="character" w:styleId="af">
    <w:name w:val="annotation reference"/>
    <w:basedOn w:val="a0"/>
    <w:qFormat/>
    <w:rsid w:val="00535D30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qFormat/>
    <w:rsid w:val="00535D30"/>
    <w:rPr>
      <w:rFonts w:ascii="Calibri" w:eastAsia="Calibri" w:hAnsi="Calibri"/>
      <w:lang w:eastAsia="en-US"/>
    </w:rPr>
  </w:style>
  <w:style w:type="character" w:customStyle="1" w:styleId="af2">
    <w:name w:val="Тема примечания Знак"/>
    <w:basedOn w:val="af0"/>
    <w:qFormat/>
    <w:rsid w:val="00535D30"/>
    <w:rPr>
      <w:rFonts w:ascii="Calibri" w:eastAsia="Calibri" w:hAnsi="Calibri"/>
      <w:b/>
      <w:bCs/>
      <w:lang w:eastAsia="en-US"/>
    </w:rPr>
  </w:style>
  <w:style w:type="paragraph" w:customStyle="1" w:styleId="Heading">
    <w:name w:val="Heading"/>
    <w:basedOn w:val="a"/>
    <w:next w:val="ab"/>
    <w:qFormat/>
    <w:pPr>
      <w:keepNext/>
      <w:suppressAutoHyphens/>
      <w:ind w:firstLine="0"/>
      <w:jc w:val="center"/>
    </w:pPr>
    <w:rPr>
      <w:rFonts w:eastAsia="Arial Unicode MS" w:cs="Arial Unicode MS"/>
      <w:caps/>
      <w:szCs w:val="28"/>
    </w:rPr>
  </w:style>
  <w:style w:type="paragraph" w:styleId="ab">
    <w:name w:val="Body Text"/>
    <w:basedOn w:val="a"/>
    <w:link w:val="aa"/>
    <w:unhideWhenUsed/>
    <w:rsid w:val="00746F15"/>
    <w:pPr>
      <w:jc w:val="center"/>
    </w:pPr>
    <w:rPr>
      <w:rFonts w:eastAsia="Times New Roman"/>
      <w:sz w:val="24"/>
      <w:szCs w:val="24"/>
      <w:lang w:eastAsia="ru-RU"/>
    </w:rPr>
  </w:style>
  <w:style w:type="paragraph" w:styleId="af3">
    <w:name w:val="List"/>
    <w:basedOn w:val="ab"/>
    <w:rPr>
      <w:rFonts w:cs="Arial Unicode MS"/>
    </w:rPr>
  </w:style>
  <w:style w:type="paragraph" w:styleId="af4">
    <w:name w:val="caption"/>
    <w:basedOn w:val="a"/>
    <w:next w:val="a"/>
    <w:uiPriority w:val="35"/>
    <w:qFormat/>
    <w:rsid w:val="00746F15"/>
    <w:pPr>
      <w:suppressAutoHyphens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4">
    <w:name w:val="Body Text Indent"/>
    <w:basedOn w:val="a"/>
    <w:link w:val="a3"/>
    <w:rsid w:val="006A18A6"/>
    <w:pPr>
      <w:spacing w:after="120"/>
      <w:ind w:left="283"/>
    </w:p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nhideWhenUsed/>
    <w:rsid w:val="00746F15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8"/>
    <w:unhideWhenUsed/>
    <w:rsid w:val="00746F15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paragraph" w:styleId="af1">
    <w:name w:val="annotation text"/>
    <w:basedOn w:val="a"/>
    <w:link w:val="af0"/>
    <w:rsid w:val="00535D30"/>
    <w:rPr>
      <w:sz w:val="20"/>
      <w:szCs w:val="20"/>
    </w:rPr>
  </w:style>
  <w:style w:type="paragraph" w:styleId="af5">
    <w:name w:val="envelope address"/>
    <w:basedOn w:val="a"/>
    <w:pPr>
      <w:suppressLineNumbers/>
      <w:spacing w:after="60"/>
    </w:pPr>
  </w:style>
  <w:style w:type="paragraph" w:styleId="af6">
    <w:name w:val="Closing"/>
    <w:basedOn w:val="Heading"/>
    <w:next w:val="ab"/>
    <w:rPr>
      <w:b/>
      <w:bCs/>
      <w:sz w:val="32"/>
      <w:szCs w:val="32"/>
    </w:rPr>
  </w:style>
  <w:style w:type="paragraph" w:styleId="af7">
    <w:name w:val="index heading"/>
    <w:basedOn w:val="Heading"/>
    <w:pPr>
      <w:suppressLineNumbers/>
    </w:pPr>
    <w:rPr>
      <w:b/>
      <w:bCs/>
      <w:sz w:val="32"/>
      <w:szCs w:val="32"/>
    </w:rPr>
  </w:style>
  <w:style w:type="paragraph" w:styleId="af8">
    <w:name w:val="table of authorities"/>
    <w:basedOn w:val="af7"/>
  </w:style>
  <w:style w:type="paragraph" w:customStyle="1" w:styleId="Figure">
    <w:name w:val="Figure"/>
    <w:basedOn w:val="af4"/>
    <w:qFormat/>
    <w:pPr>
      <w:spacing w:after="113"/>
      <w:contextualSpacing/>
    </w:pPr>
  </w:style>
  <w:style w:type="paragraph" w:customStyle="1" w:styleId="Table">
    <w:name w:val="Table"/>
    <w:basedOn w:val="af4"/>
    <w:qFormat/>
  </w:style>
  <w:style w:type="paragraph" w:customStyle="1" w:styleId="TableContents">
    <w:name w:val="Table Contents"/>
    <w:basedOn w:val="Table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Pr>
      <w:b/>
      <w:bCs/>
    </w:rPr>
  </w:style>
  <w:style w:type="table" w:styleId="af9">
    <w:name w:val="Table Grid"/>
    <w:basedOn w:val="a1"/>
    <w:uiPriority w:val="59"/>
    <w:rsid w:val="00FD7E9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343E7C"/>
    <w:rPr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409BC3-0620-4A6C-911F-6CFCCAB8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</vt:lpstr>
    </vt:vector>
  </TitlesOfParts>
  <Company>MoBIL GROUP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</dc:title>
  <dc:subject/>
  <dc:creator>Карим</dc:creator>
  <dc:description/>
  <cp:lastModifiedBy>APKarpenko</cp:lastModifiedBy>
  <cp:revision>4</cp:revision>
  <dcterms:created xsi:type="dcterms:W3CDTF">2025-04-19T14:50:00Z</dcterms:created>
  <dcterms:modified xsi:type="dcterms:W3CDTF">2025-04-19T14:53:00Z</dcterms:modified>
  <dc:language>ru-RU</dc:language>
</cp:coreProperties>
</file>